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708F" w14:textId="77777777" w:rsidR="007B2885" w:rsidRDefault="00566A5B">
      <w:pPr>
        <w:ind w:left="4" w:hanging="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60"/>
          <w:szCs w:val="60"/>
        </w:rPr>
        <w:t>SCHOOL/CHURCH GUARDIAN</w:t>
      </w:r>
    </w:p>
    <w:p w14:paraId="7DC57090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pict w14:anchorId="7DC570B5">
          <v:rect id="_x0000_i1025" style="width:0;height:1.5pt" o:hralign="center" o:hrstd="t" o:hr="t" fillcolor="#a0a0a0" stroked="f"/>
        </w:pict>
      </w:r>
    </w:p>
    <w:p w14:paraId="7DC57091" w14:textId="54BDF982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School Guardian Course will train the school first responders in the common attacks by active shooters in recent history. </w:t>
      </w:r>
      <w:r>
        <w:rPr>
          <w:rFonts w:ascii="Calibri" w:eastAsia="Calibri" w:hAnsi="Calibri" w:cs="Calibri"/>
          <w:sz w:val="22"/>
          <w:szCs w:val="22"/>
        </w:rPr>
        <w:t xml:space="preserve"> This course applies to the School Guardian, School Resource Officer and Church Security personnel. </w:t>
      </w:r>
      <w:r>
        <w:rPr>
          <w:rFonts w:ascii="Calibri" w:eastAsia="Calibri" w:hAnsi="Calibri" w:cs="Calibri"/>
          <w:sz w:val="22"/>
          <w:szCs w:val="22"/>
        </w:rPr>
        <w:t xml:space="preserve"> The course is 3 days in duration and is limited (12 students).  </w:t>
      </w:r>
    </w:p>
    <w:p w14:paraId="7DC57092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93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COURSE TOPICS:</w:t>
      </w:r>
    </w:p>
    <w:p w14:paraId="7DC57094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Safety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Exterior Contact</w:t>
      </w:r>
    </w:p>
    <w:p w14:paraId="7DC57095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Combat Mindset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Single CQB/T Intersections</w:t>
      </w:r>
    </w:p>
    <w:p w14:paraId="7DC57096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Basic Firearms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>Single Hallway Movement</w:t>
      </w:r>
    </w:p>
    <w:p w14:paraId="7DC57097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Shooting Standards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Medical</w:t>
      </w:r>
    </w:p>
    <w:p w14:paraId="7DC57098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Barricade Work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Link Up w/other Guardians/Law Enforcement</w:t>
      </w:r>
    </w:p>
    <w:p w14:paraId="7DC57099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Vehicle Deployments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Live Fire Culmination Scenarios</w:t>
      </w:r>
    </w:p>
    <w:p w14:paraId="7DC5709A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9B" w14:textId="77777777" w:rsidR="007B2885" w:rsidRDefault="00566A5B">
      <w:pPr>
        <w:keepNext/>
        <w:ind w:left="0" w:hanging="2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>PHYSICAL AND TECHNICAL REQUIREMENTS:</w:t>
      </w:r>
      <w:r>
        <w:rPr>
          <w:rFonts w:ascii="Calibri" w:eastAsia="Calibri" w:hAnsi="Calibri" w:cs="Calibri"/>
          <w:sz w:val="22"/>
          <w:szCs w:val="22"/>
        </w:rPr>
        <w:t xml:space="preserve">  Good physical condition</w:t>
      </w:r>
    </w:p>
    <w:p w14:paraId="7DC5709C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9D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EQUIPMENT NEEDED: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DC5709E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Concealment holster, pistol, eye and ear protection.  </w:t>
      </w:r>
    </w:p>
    <w:p w14:paraId="7DC5709F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Bring inclement weather gear as required. </w:t>
      </w:r>
    </w:p>
    <w:p w14:paraId="7DC570A0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A1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Ammunition</w:t>
      </w:r>
    </w:p>
    <w:p w14:paraId="7DC570A2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Pistol Ball (500 Rounds)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DC570A3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  <w:u w:val="single"/>
        </w:rPr>
      </w:pPr>
    </w:p>
    <w:p w14:paraId="7DC570A4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Host Hotels: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7DC570A5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Many in the surrounding area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7DC570A6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7DC570A7" w14:textId="54A311C0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refunds or cancellations 30 Days prior to course start.  The class</w:t>
      </w:r>
      <w:r>
        <w:rPr>
          <w:rFonts w:ascii="Calibri" w:eastAsia="Calibri" w:hAnsi="Calibri" w:cs="Calibri"/>
          <w:sz w:val="22"/>
          <w:szCs w:val="22"/>
        </w:rPr>
        <w:t xml:space="preserve"> starts at 8:00 am in the classroom.</w:t>
      </w:r>
    </w:p>
    <w:p w14:paraId="7DC570A8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Make checks payable to CSAT.  </w:t>
      </w:r>
    </w:p>
    <w:p w14:paraId="7DC570A9" w14:textId="77777777" w:rsidR="007B2885" w:rsidRDefault="00566A5B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register, e-mail: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paulkoko@hotmail.com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 (Paul Howe)</w:t>
      </w:r>
    </w:p>
    <w:p w14:paraId="7DC570AA" w14:textId="77777777" w:rsidR="007B2885" w:rsidRDefault="007B2885">
      <w:pPr>
        <w:ind w:left="4" w:hanging="6"/>
        <w:rPr>
          <w:rFonts w:ascii="Calibri" w:eastAsia="Calibri" w:hAnsi="Calibri" w:cs="Calibri"/>
          <w:b/>
          <w:sz w:val="60"/>
          <w:szCs w:val="60"/>
        </w:rPr>
      </w:pPr>
    </w:p>
    <w:p w14:paraId="7DC570AB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AC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AD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AE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AF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B0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B1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B2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B3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DC570B4" w14:textId="77777777" w:rsidR="007B2885" w:rsidRDefault="007B288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7B2885">
      <w:headerReference w:type="default" r:id="rId8"/>
      <w:headerReference w:type="first" r:id="rId9"/>
      <w:footerReference w:type="first" r:id="rId10"/>
      <w:pgSz w:w="12240" w:h="15840"/>
      <w:pgMar w:top="792" w:right="1440" w:bottom="720" w:left="144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70BD" w14:textId="77777777" w:rsidR="00566A5B" w:rsidRDefault="00566A5B">
      <w:pPr>
        <w:spacing w:line="240" w:lineRule="auto"/>
        <w:ind w:left="0" w:hanging="2"/>
      </w:pPr>
      <w:r>
        <w:separator/>
      </w:r>
    </w:p>
  </w:endnote>
  <w:endnote w:type="continuationSeparator" w:id="0">
    <w:p w14:paraId="7DC570BF" w14:textId="77777777" w:rsidR="00566A5B" w:rsidRDefault="00566A5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70B8" w14:textId="77777777" w:rsidR="007B2885" w:rsidRDefault="007B288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70B9" w14:textId="77777777" w:rsidR="00566A5B" w:rsidRDefault="00566A5B">
      <w:pPr>
        <w:spacing w:line="240" w:lineRule="auto"/>
        <w:ind w:left="0" w:hanging="2"/>
      </w:pPr>
      <w:r>
        <w:separator/>
      </w:r>
    </w:p>
  </w:footnote>
  <w:footnote w:type="continuationSeparator" w:id="0">
    <w:p w14:paraId="7DC570BB" w14:textId="77777777" w:rsidR="00566A5B" w:rsidRDefault="00566A5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70B6" w14:textId="77777777" w:rsidR="007B2885" w:rsidRDefault="00566A5B">
    <w:pPr>
      <w:ind w:left="0" w:hanging="2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7DC570B9" wp14:editId="7DC570BA">
          <wp:simplePos x="0" y="0"/>
          <wp:positionH relativeFrom="page">
            <wp:posOffset>3124200</wp:posOffset>
          </wp:positionH>
          <wp:positionV relativeFrom="page">
            <wp:posOffset>310515</wp:posOffset>
          </wp:positionV>
          <wp:extent cx="1521308" cy="442913"/>
          <wp:effectExtent l="0" t="0" r="0" b="0"/>
          <wp:wrapTopAndBottom distT="0" distB="0"/>
          <wp:docPr id="4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1308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70B7" w14:textId="77777777" w:rsidR="007B2885" w:rsidRDefault="007B2885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sjA3MjUxNjAysTRQ0lEKTi0uzszPAykwrAUAtovDPywAAAA="/>
  </w:docVars>
  <w:rsids>
    <w:rsidRoot w:val="007B2885"/>
    <w:rsid w:val="00566A5B"/>
    <w:rsid w:val="007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C5708F"/>
  <w15:docId w15:val="{EBBECDD3-EE61-4347-9C5C-640B56AC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2160" w:hanging="2160"/>
    </w:pPr>
    <w:rPr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2160" w:hanging="2160"/>
    </w:pPr>
    <w:rPr>
      <w:b/>
    </w:rPr>
  </w:style>
  <w:style w:type="paragraph" w:styleId="BodyTextIndent2">
    <w:name w:val="Body Text Indent 2"/>
    <w:basedOn w:val="Normal"/>
    <w:pPr>
      <w:ind w:left="2160" w:hanging="2160"/>
    </w:pPr>
    <w:rPr>
      <w:sz w:val="1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essageHeaderChar">
    <w:name w:val="Message Header Char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blockemailwithname2">
    <w:name w:val="blockemailwithname2"/>
    <w:rPr>
      <w:color w:val="444444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kok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Bq2zz3g+ip4WiBbIjssHpY3jQ==">AMUW2mXOmjzqZLCs/iGXPA36maZvyX9QZdKrPm1gazLE8ZK12eeK1x5ury5ytEOOmCxW7/TwuHghGWMZJ56MCHy62ypd/1jddCCM+4UqE+UYbM0Yv+YOKqw=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958</Characters>
  <Application>Microsoft Office Word</Application>
  <DocSecurity>0</DocSecurity>
  <Lines>43</Lines>
  <Paragraphs>25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Finley</dc:creator>
  <cp:lastModifiedBy>Mike Cahill</cp:lastModifiedBy>
  <cp:revision>2</cp:revision>
  <dcterms:created xsi:type="dcterms:W3CDTF">2020-04-20T12:06:00Z</dcterms:created>
  <dcterms:modified xsi:type="dcterms:W3CDTF">2023-12-08T17:05:00Z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96bbe8685cf3cc6e2b6d1af571de9d95195a911cc9810c3c93112519a9cdf50b</vt:lpwstr>
  </property>
</Properties>
</file>