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C777" w14:textId="77777777" w:rsidR="009A5B44" w:rsidRPr="009A5B44" w:rsidRDefault="009A5B44" w:rsidP="009A5B44">
      <w:pPr>
        <w:keepNext/>
        <w:pageBreakBefore/>
        <w:spacing w:before="160"/>
        <w:outlineLvl w:val="0"/>
        <w:rPr>
          <w:rFonts w:eastAsiaTheme="minorEastAsia" w:cs="Times New Roman"/>
          <w:b/>
          <w:bCs/>
          <w:kern w:val="0"/>
          <w:sz w:val="24"/>
          <w:szCs w:val="32"/>
          <w:lang w:eastAsia="zh-CN"/>
          <w14:ligatures w14:val="none"/>
        </w:rPr>
      </w:pPr>
      <w:bookmarkStart w:id="0" w:name="_Ref49354277"/>
      <w:r w:rsidRPr="009A5B44">
        <w:rPr>
          <w:rFonts w:eastAsiaTheme="minorEastAsia" w:cs="Times New Roman"/>
          <w:b/>
          <w:bCs/>
          <w:kern w:val="0"/>
          <w:sz w:val="24"/>
          <w:szCs w:val="32"/>
          <w:lang w:eastAsia="zh-CN"/>
          <w14:ligatures w14:val="none"/>
        </w:rPr>
        <w:t>APPENDIX A: HANDGUN QUALIFICATION COURSE</w:t>
      </w:r>
      <w:bookmarkEnd w:id="0"/>
    </w:p>
    <w:p w14:paraId="2ABA1BB7" w14:textId="77777777" w:rsidR="009A5B44" w:rsidRPr="009A5B44" w:rsidRDefault="009A5B44" w:rsidP="009A5B44">
      <w:pPr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</w:pPr>
      <w:r w:rsidRPr="009A5B44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50 rounds</w:t>
      </w:r>
    </w:p>
    <w:p w14:paraId="40C5FC25" w14:textId="77777777" w:rsidR="009A5B44" w:rsidRPr="009A5B44" w:rsidRDefault="009A5B44" w:rsidP="009A5B44">
      <w:pPr>
        <w:spacing w:after="0"/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</w:pPr>
      <w:r w:rsidRPr="009A5B44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Student must show proficiency with handgun</w:t>
      </w:r>
    </w:p>
    <w:p w14:paraId="0666E7EB" w14:textId="77777777" w:rsidR="009A5B44" w:rsidRPr="009A5B44" w:rsidRDefault="009A5B44" w:rsidP="009A5B44">
      <w:pPr>
        <w:spacing w:after="0"/>
        <w:ind w:right="-360"/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</w:pPr>
      <w:r w:rsidRPr="009A5B44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Student will have two chances to qualify with a minimum score of 90% with weapon.</w:t>
      </w:r>
    </w:p>
    <w:p w14:paraId="34DBD8FF" w14:textId="77777777" w:rsidR="009A5B44" w:rsidRPr="009A5B44" w:rsidRDefault="009A5B44" w:rsidP="009A5B44">
      <w:pPr>
        <w:spacing w:before="240" w:after="0"/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</w:pPr>
      <w:r w:rsidRPr="009A5B44">
        <w:rPr>
          <w:rFonts w:eastAsiaTheme="minorEastAsia" w:cs="Times New Roman"/>
          <w:b/>
          <w:kern w:val="0"/>
          <w:sz w:val="24"/>
          <w:szCs w:val="24"/>
          <w:lang w:eastAsia="zh-CN"/>
          <w14:ligatures w14:val="none"/>
        </w:rPr>
        <w:t>Notes:</w:t>
      </w:r>
    </w:p>
    <w:p w14:paraId="71207212" w14:textId="77777777" w:rsidR="009A5B44" w:rsidRPr="009A5B44" w:rsidRDefault="009A5B44" w:rsidP="009A5B44">
      <w:pPr>
        <w:spacing w:after="0"/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</w:pPr>
      <w:r w:rsidRPr="009A5B44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A locked-back slide is the only way to change magazines for this course of fire.</w:t>
      </w:r>
    </w:p>
    <w:p w14:paraId="04C508AA" w14:textId="77777777" w:rsidR="009A5B44" w:rsidRPr="009A5B44" w:rsidRDefault="009A5B44" w:rsidP="009A5B44">
      <w:pPr>
        <w:spacing w:after="0"/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</w:pPr>
      <w:r w:rsidRPr="009A5B44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Any negligent discharge will be grounds for dismissal from the course.</w:t>
      </w:r>
    </w:p>
    <w:p w14:paraId="15EA196F" w14:textId="77777777" w:rsidR="009A5B44" w:rsidRPr="009A5B44" w:rsidRDefault="009A5B44" w:rsidP="009A5B44">
      <w:pPr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</w:pPr>
      <w:r w:rsidRPr="009A5B44">
        <w:rPr>
          <w:rFonts w:eastAsiaTheme="minorEastAsia" w:cs="Times New Roman"/>
          <w:kern w:val="0"/>
          <w:sz w:val="24"/>
          <w:szCs w:val="24"/>
          <w:lang w:eastAsia="zh-CN"/>
          <w14:ligatures w14:val="none"/>
        </w:rPr>
        <w:t>Alibis will not be allowed.</w:t>
      </w:r>
    </w:p>
    <w:tbl>
      <w:tblPr>
        <w:tblStyle w:val="TableTheme"/>
        <w:tblW w:w="0" w:type="auto"/>
        <w:tblLook w:val="04A0" w:firstRow="1" w:lastRow="0" w:firstColumn="1" w:lastColumn="0" w:noHBand="0" w:noVBand="1"/>
      </w:tblPr>
      <w:tblGrid>
        <w:gridCol w:w="1074"/>
        <w:gridCol w:w="2352"/>
        <w:gridCol w:w="1249"/>
        <w:gridCol w:w="1170"/>
        <w:gridCol w:w="1890"/>
        <w:gridCol w:w="1615"/>
      </w:tblGrid>
      <w:tr w:rsidR="009A5B44" w:rsidRPr="009A5B44" w14:paraId="081F4306" w14:textId="77777777" w:rsidTr="000D3255">
        <w:trPr>
          <w:cantSplit/>
          <w:trHeight w:val="720"/>
        </w:trPr>
        <w:tc>
          <w:tcPr>
            <w:tcW w:w="1074" w:type="dxa"/>
            <w:shd w:val="clear" w:color="auto" w:fill="000000" w:themeFill="text1"/>
          </w:tcPr>
          <w:p w14:paraId="50DE693A" w14:textId="77777777" w:rsidR="009A5B44" w:rsidRPr="009A5B44" w:rsidRDefault="009A5B44" w:rsidP="009A5B44">
            <w:pPr>
              <w:jc w:val="center"/>
              <w:rPr>
                <w:b/>
              </w:rPr>
            </w:pPr>
            <w:r w:rsidRPr="009A5B44">
              <w:rPr>
                <w:b/>
              </w:rPr>
              <w:t>Distance (Yards)</w:t>
            </w:r>
          </w:p>
        </w:tc>
        <w:tc>
          <w:tcPr>
            <w:tcW w:w="2352" w:type="dxa"/>
            <w:shd w:val="clear" w:color="auto" w:fill="000000" w:themeFill="text1"/>
          </w:tcPr>
          <w:p w14:paraId="7F77AEDB" w14:textId="77777777" w:rsidR="009A5B44" w:rsidRPr="009A5B44" w:rsidRDefault="009A5B44" w:rsidP="009A5B44">
            <w:pPr>
              <w:jc w:val="center"/>
              <w:rPr>
                <w:b/>
              </w:rPr>
            </w:pPr>
            <w:r w:rsidRPr="009A5B44">
              <w:rPr>
                <w:b/>
              </w:rPr>
              <w:t>Starting Firearm Position</w:t>
            </w:r>
          </w:p>
        </w:tc>
        <w:tc>
          <w:tcPr>
            <w:tcW w:w="1249" w:type="dxa"/>
            <w:shd w:val="clear" w:color="auto" w:fill="000000" w:themeFill="text1"/>
          </w:tcPr>
          <w:p w14:paraId="2D7C1121" w14:textId="77777777" w:rsidR="009A5B44" w:rsidRPr="009A5B44" w:rsidRDefault="009A5B44" w:rsidP="009A5B44">
            <w:pPr>
              <w:jc w:val="center"/>
              <w:rPr>
                <w:b/>
              </w:rPr>
            </w:pPr>
            <w:r w:rsidRPr="009A5B44">
              <w:rPr>
                <w:b/>
              </w:rPr>
              <w:t>Hand</w:t>
            </w:r>
          </w:p>
        </w:tc>
        <w:tc>
          <w:tcPr>
            <w:tcW w:w="1170" w:type="dxa"/>
            <w:shd w:val="clear" w:color="auto" w:fill="000000" w:themeFill="text1"/>
          </w:tcPr>
          <w:p w14:paraId="0BA9E559" w14:textId="77777777" w:rsidR="009A5B44" w:rsidRPr="009A5B44" w:rsidRDefault="009A5B44" w:rsidP="009A5B44">
            <w:pPr>
              <w:jc w:val="center"/>
              <w:rPr>
                <w:b/>
              </w:rPr>
            </w:pPr>
            <w:r w:rsidRPr="009A5B44">
              <w:rPr>
                <w:b/>
              </w:rPr>
              <w:t>Reload</w:t>
            </w:r>
          </w:p>
        </w:tc>
        <w:tc>
          <w:tcPr>
            <w:tcW w:w="1890" w:type="dxa"/>
            <w:shd w:val="clear" w:color="auto" w:fill="000000" w:themeFill="text1"/>
          </w:tcPr>
          <w:p w14:paraId="0FD05051" w14:textId="77777777" w:rsidR="009A5B44" w:rsidRPr="009A5B44" w:rsidRDefault="009A5B44" w:rsidP="009A5B44">
            <w:pPr>
              <w:jc w:val="center"/>
              <w:rPr>
                <w:b/>
              </w:rPr>
            </w:pPr>
            <w:r w:rsidRPr="009A5B44">
              <w:rPr>
                <w:b/>
              </w:rPr>
              <w:t>Rounds Fired</w:t>
            </w:r>
          </w:p>
        </w:tc>
        <w:tc>
          <w:tcPr>
            <w:tcW w:w="1615" w:type="dxa"/>
            <w:shd w:val="clear" w:color="auto" w:fill="000000" w:themeFill="text1"/>
          </w:tcPr>
          <w:p w14:paraId="45A5E3C1" w14:textId="77777777" w:rsidR="009A5B44" w:rsidRPr="009A5B44" w:rsidRDefault="009A5B44" w:rsidP="009A5B44">
            <w:pPr>
              <w:jc w:val="center"/>
              <w:rPr>
                <w:b/>
              </w:rPr>
            </w:pPr>
            <w:r w:rsidRPr="009A5B44">
              <w:rPr>
                <w:b/>
              </w:rPr>
              <w:t>Time Limit (Seconds)</w:t>
            </w:r>
          </w:p>
        </w:tc>
      </w:tr>
      <w:tr w:rsidR="009A5B44" w:rsidRPr="009A5B44" w14:paraId="76453031" w14:textId="77777777" w:rsidTr="000D3255">
        <w:trPr>
          <w:trHeight w:val="864"/>
        </w:trPr>
        <w:tc>
          <w:tcPr>
            <w:tcW w:w="1074" w:type="dxa"/>
            <w:vAlign w:val="center"/>
          </w:tcPr>
          <w:p w14:paraId="325B03D7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25</w:t>
            </w:r>
          </w:p>
        </w:tc>
        <w:tc>
          <w:tcPr>
            <w:tcW w:w="2352" w:type="dxa"/>
            <w:vAlign w:val="center"/>
          </w:tcPr>
          <w:p w14:paraId="68AF0D98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holstered weapon shooter’s choice</w:t>
            </w:r>
          </w:p>
        </w:tc>
        <w:tc>
          <w:tcPr>
            <w:tcW w:w="1249" w:type="dxa"/>
            <w:vAlign w:val="center"/>
          </w:tcPr>
          <w:p w14:paraId="1EA96CCB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2</w:t>
            </w:r>
          </w:p>
        </w:tc>
        <w:tc>
          <w:tcPr>
            <w:tcW w:w="1170" w:type="dxa"/>
            <w:vAlign w:val="center"/>
          </w:tcPr>
          <w:p w14:paraId="64BF62CA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if needed</w:t>
            </w:r>
          </w:p>
        </w:tc>
        <w:tc>
          <w:tcPr>
            <w:tcW w:w="1890" w:type="dxa"/>
            <w:vAlign w:val="center"/>
          </w:tcPr>
          <w:p w14:paraId="1D3DBE52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 xml:space="preserve">8 </w:t>
            </w:r>
            <w:r w:rsidRPr="009A5B44">
              <w:br/>
              <w:t xml:space="preserve">(fired in </w:t>
            </w:r>
            <w:r w:rsidRPr="009A5B44">
              <w:br/>
              <w:t>2 shot strings)</w:t>
            </w:r>
          </w:p>
        </w:tc>
        <w:tc>
          <w:tcPr>
            <w:tcW w:w="1615" w:type="dxa"/>
            <w:vAlign w:val="center"/>
          </w:tcPr>
          <w:p w14:paraId="64BB0895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 xml:space="preserve">20 </w:t>
            </w:r>
            <w:r w:rsidRPr="009A5B44">
              <w:br/>
              <w:t>(5 seconds per string)</w:t>
            </w:r>
          </w:p>
        </w:tc>
      </w:tr>
      <w:tr w:rsidR="009A5B44" w:rsidRPr="009A5B44" w14:paraId="1443E282" w14:textId="77777777" w:rsidTr="000D3255">
        <w:trPr>
          <w:trHeight w:val="864"/>
        </w:trPr>
        <w:tc>
          <w:tcPr>
            <w:tcW w:w="1074" w:type="dxa"/>
            <w:vAlign w:val="center"/>
          </w:tcPr>
          <w:p w14:paraId="5756AF80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25</w:t>
            </w:r>
          </w:p>
        </w:tc>
        <w:tc>
          <w:tcPr>
            <w:tcW w:w="2352" w:type="dxa"/>
            <w:vAlign w:val="center"/>
          </w:tcPr>
          <w:p w14:paraId="3397AA53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holstered weapon</w:t>
            </w:r>
          </w:p>
          <w:p w14:paraId="5C6E1069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standing or kneeling</w:t>
            </w:r>
          </w:p>
        </w:tc>
        <w:tc>
          <w:tcPr>
            <w:tcW w:w="1249" w:type="dxa"/>
            <w:vAlign w:val="center"/>
          </w:tcPr>
          <w:p w14:paraId="05787952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2</w:t>
            </w:r>
          </w:p>
        </w:tc>
        <w:tc>
          <w:tcPr>
            <w:tcW w:w="1170" w:type="dxa"/>
            <w:vAlign w:val="center"/>
          </w:tcPr>
          <w:p w14:paraId="79D2E4D9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no</w:t>
            </w:r>
          </w:p>
        </w:tc>
        <w:tc>
          <w:tcPr>
            <w:tcW w:w="1890" w:type="dxa"/>
            <w:vAlign w:val="center"/>
          </w:tcPr>
          <w:p w14:paraId="2AA26387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6</w:t>
            </w:r>
          </w:p>
        </w:tc>
        <w:tc>
          <w:tcPr>
            <w:tcW w:w="1615" w:type="dxa"/>
            <w:vAlign w:val="center"/>
          </w:tcPr>
          <w:p w14:paraId="32D0EDE9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20</w:t>
            </w:r>
          </w:p>
        </w:tc>
      </w:tr>
      <w:tr w:rsidR="009A5B44" w:rsidRPr="009A5B44" w14:paraId="1081B25C" w14:textId="77777777" w:rsidTr="000D3255">
        <w:trPr>
          <w:trHeight w:val="864"/>
        </w:trPr>
        <w:tc>
          <w:tcPr>
            <w:tcW w:w="1074" w:type="dxa"/>
            <w:vAlign w:val="center"/>
          </w:tcPr>
          <w:p w14:paraId="0B55470F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15</w:t>
            </w:r>
          </w:p>
        </w:tc>
        <w:tc>
          <w:tcPr>
            <w:tcW w:w="2352" w:type="dxa"/>
            <w:vAlign w:val="center"/>
          </w:tcPr>
          <w:p w14:paraId="6193B5E8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holstered weapon loaded with 6 rounds in the magazine</w:t>
            </w:r>
          </w:p>
        </w:tc>
        <w:tc>
          <w:tcPr>
            <w:tcW w:w="1249" w:type="dxa"/>
            <w:vAlign w:val="center"/>
          </w:tcPr>
          <w:p w14:paraId="7AB66C9B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2</w:t>
            </w:r>
          </w:p>
        </w:tc>
        <w:tc>
          <w:tcPr>
            <w:tcW w:w="1170" w:type="dxa"/>
            <w:vAlign w:val="center"/>
          </w:tcPr>
          <w:p w14:paraId="437162A8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yes</w:t>
            </w:r>
          </w:p>
        </w:tc>
        <w:tc>
          <w:tcPr>
            <w:tcW w:w="1890" w:type="dxa"/>
            <w:vAlign w:val="center"/>
          </w:tcPr>
          <w:p w14:paraId="6FE293AE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2</w:t>
            </w:r>
          </w:p>
        </w:tc>
        <w:tc>
          <w:tcPr>
            <w:tcW w:w="1615" w:type="dxa"/>
            <w:vAlign w:val="center"/>
          </w:tcPr>
          <w:p w14:paraId="62487371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4</w:t>
            </w:r>
          </w:p>
        </w:tc>
      </w:tr>
      <w:tr w:rsidR="009A5B44" w:rsidRPr="009A5B44" w14:paraId="7E290218" w14:textId="77777777" w:rsidTr="000D3255">
        <w:trPr>
          <w:trHeight w:val="864"/>
        </w:trPr>
        <w:tc>
          <w:tcPr>
            <w:tcW w:w="1074" w:type="dxa"/>
            <w:vAlign w:val="center"/>
          </w:tcPr>
          <w:p w14:paraId="5AA43402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15</w:t>
            </w:r>
          </w:p>
        </w:tc>
        <w:tc>
          <w:tcPr>
            <w:tcW w:w="2352" w:type="dxa"/>
            <w:vAlign w:val="center"/>
          </w:tcPr>
          <w:p w14:paraId="686C2098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low ready</w:t>
            </w:r>
          </w:p>
        </w:tc>
        <w:tc>
          <w:tcPr>
            <w:tcW w:w="1249" w:type="dxa"/>
            <w:vAlign w:val="center"/>
          </w:tcPr>
          <w:p w14:paraId="172B4854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2</w:t>
            </w:r>
          </w:p>
        </w:tc>
        <w:tc>
          <w:tcPr>
            <w:tcW w:w="1170" w:type="dxa"/>
            <w:vAlign w:val="center"/>
          </w:tcPr>
          <w:p w14:paraId="72828193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yes</w:t>
            </w:r>
          </w:p>
        </w:tc>
        <w:tc>
          <w:tcPr>
            <w:tcW w:w="1890" w:type="dxa"/>
            <w:vAlign w:val="center"/>
          </w:tcPr>
          <w:p w14:paraId="13B1D40C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4</w:t>
            </w:r>
          </w:p>
          <w:p w14:paraId="28209CB7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(</w:t>
            </w:r>
            <w:proofErr w:type="gramStart"/>
            <w:r w:rsidRPr="009A5B44">
              <w:t>fired</w:t>
            </w:r>
            <w:proofErr w:type="gramEnd"/>
            <w:r w:rsidRPr="009A5B44">
              <w:t xml:space="preserve"> in</w:t>
            </w:r>
          </w:p>
          <w:p w14:paraId="0628CF7B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2 shot strings)</w:t>
            </w:r>
          </w:p>
        </w:tc>
        <w:tc>
          <w:tcPr>
            <w:tcW w:w="1615" w:type="dxa"/>
            <w:vAlign w:val="center"/>
          </w:tcPr>
          <w:p w14:paraId="66AC6198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 xml:space="preserve">8 </w:t>
            </w:r>
            <w:r w:rsidRPr="009A5B44">
              <w:br/>
              <w:t>(4 seconds per string)</w:t>
            </w:r>
          </w:p>
        </w:tc>
      </w:tr>
      <w:tr w:rsidR="009A5B44" w:rsidRPr="009A5B44" w14:paraId="1221F17D" w14:textId="77777777" w:rsidTr="000D3255">
        <w:trPr>
          <w:trHeight w:val="864"/>
        </w:trPr>
        <w:tc>
          <w:tcPr>
            <w:tcW w:w="1074" w:type="dxa"/>
            <w:vAlign w:val="center"/>
          </w:tcPr>
          <w:p w14:paraId="064258EB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15</w:t>
            </w:r>
          </w:p>
        </w:tc>
        <w:tc>
          <w:tcPr>
            <w:tcW w:w="2352" w:type="dxa"/>
            <w:vAlign w:val="center"/>
          </w:tcPr>
          <w:p w14:paraId="3A59EF23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low ready</w:t>
            </w:r>
          </w:p>
        </w:tc>
        <w:tc>
          <w:tcPr>
            <w:tcW w:w="1249" w:type="dxa"/>
            <w:vAlign w:val="center"/>
          </w:tcPr>
          <w:p w14:paraId="2737DB4C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2</w:t>
            </w:r>
          </w:p>
        </w:tc>
        <w:tc>
          <w:tcPr>
            <w:tcW w:w="1170" w:type="dxa"/>
            <w:vAlign w:val="center"/>
          </w:tcPr>
          <w:p w14:paraId="24E4B453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yes</w:t>
            </w:r>
          </w:p>
        </w:tc>
        <w:tc>
          <w:tcPr>
            <w:tcW w:w="1890" w:type="dxa"/>
            <w:vAlign w:val="center"/>
          </w:tcPr>
          <w:p w14:paraId="74E69317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6</w:t>
            </w:r>
          </w:p>
          <w:p w14:paraId="4CA5C95F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(</w:t>
            </w:r>
            <w:proofErr w:type="gramStart"/>
            <w:r w:rsidRPr="009A5B44">
              <w:t>fired</w:t>
            </w:r>
            <w:proofErr w:type="gramEnd"/>
            <w:r w:rsidRPr="009A5B44">
              <w:t xml:space="preserve"> in</w:t>
            </w:r>
          </w:p>
          <w:p w14:paraId="0F2B30A2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2 shot strings)</w:t>
            </w:r>
          </w:p>
        </w:tc>
        <w:tc>
          <w:tcPr>
            <w:tcW w:w="1615" w:type="dxa"/>
            <w:vAlign w:val="center"/>
          </w:tcPr>
          <w:p w14:paraId="06F578A4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 xml:space="preserve">12 </w:t>
            </w:r>
            <w:r w:rsidRPr="009A5B44">
              <w:br/>
              <w:t>(4 seconds per string)</w:t>
            </w:r>
          </w:p>
        </w:tc>
      </w:tr>
      <w:tr w:rsidR="009A5B44" w:rsidRPr="009A5B44" w14:paraId="309CF6A4" w14:textId="77777777" w:rsidTr="000D3255">
        <w:trPr>
          <w:trHeight w:val="864"/>
        </w:trPr>
        <w:tc>
          <w:tcPr>
            <w:tcW w:w="1074" w:type="dxa"/>
            <w:vAlign w:val="center"/>
          </w:tcPr>
          <w:p w14:paraId="3B3A0DF2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7</w:t>
            </w:r>
          </w:p>
        </w:tc>
        <w:tc>
          <w:tcPr>
            <w:tcW w:w="2352" w:type="dxa"/>
            <w:vAlign w:val="center"/>
          </w:tcPr>
          <w:p w14:paraId="3D35C5F8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holstered weapon</w:t>
            </w:r>
          </w:p>
        </w:tc>
        <w:tc>
          <w:tcPr>
            <w:tcW w:w="1249" w:type="dxa"/>
            <w:vAlign w:val="center"/>
          </w:tcPr>
          <w:p w14:paraId="52F898C1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2</w:t>
            </w:r>
          </w:p>
        </w:tc>
        <w:tc>
          <w:tcPr>
            <w:tcW w:w="1170" w:type="dxa"/>
            <w:vAlign w:val="center"/>
          </w:tcPr>
          <w:p w14:paraId="2608FFE7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yes</w:t>
            </w:r>
          </w:p>
        </w:tc>
        <w:tc>
          <w:tcPr>
            <w:tcW w:w="1890" w:type="dxa"/>
            <w:vAlign w:val="center"/>
          </w:tcPr>
          <w:p w14:paraId="424E07F3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12</w:t>
            </w:r>
          </w:p>
        </w:tc>
        <w:tc>
          <w:tcPr>
            <w:tcW w:w="1615" w:type="dxa"/>
            <w:vAlign w:val="center"/>
          </w:tcPr>
          <w:p w14:paraId="4693D69C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20</w:t>
            </w:r>
          </w:p>
        </w:tc>
      </w:tr>
      <w:tr w:rsidR="009A5B44" w:rsidRPr="009A5B44" w14:paraId="2F7BF9F2" w14:textId="77777777" w:rsidTr="000D3255">
        <w:trPr>
          <w:trHeight w:val="864"/>
        </w:trPr>
        <w:tc>
          <w:tcPr>
            <w:tcW w:w="1074" w:type="dxa"/>
            <w:vAlign w:val="center"/>
          </w:tcPr>
          <w:p w14:paraId="10AEAE7F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3</w:t>
            </w:r>
          </w:p>
        </w:tc>
        <w:tc>
          <w:tcPr>
            <w:tcW w:w="2352" w:type="dxa"/>
            <w:vAlign w:val="center"/>
          </w:tcPr>
          <w:p w14:paraId="18690B77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holstered weapon loaded with 6 rounds in the magazine</w:t>
            </w:r>
          </w:p>
        </w:tc>
        <w:tc>
          <w:tcPr>
            <w:tcW w:w="1249" w:type="dxa"/>
            <w:vAlign w:val="center"/>
          </w:tcPr>
          <w:p w14:paraId="10E99918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weapon hand only</w:t>
            </w:r>
          </w:p>
        </w:tc>
        <w:tc>
          <w:tcPr>
            <w:tcW w:w="1170" w:type="dxa"/>
            <w:vAlign w:val="center"/>
          </w:tcPr>
          <w:p w14:paraId="6CA2DE6B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yes</w:t>
            </w:r>
          </w:p>
        </w:tc>
        <w:tc>
          <w:tcPr>
            <w:tcW w:w="1890" w:type="dxa"/>
            <w:vAlign w:val="center"/>
          </w:tcPr>
          <w:p w14:paraId="3F3BB19F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6</w:t>
            </w:r>
          </w:p>
        </w:tc>
        <w:tc>
          <w:tcPr>
            <w:tcW w:w="1615" w:type="dxa"/>
            <w:vAlign w:val="center"/>
          </w:tcPr>
          <w:p w14:paraId="7019F940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12</w:t>
            </w:r>
          </w:p>
        </w:tc>
      </w:tr>
      <w:tr w:rsidR="009A5B44" w:rsidRPr="009A5B44" w14:paraId="5448810E" w14:textId="77777777" w:rsidTr="000D3255">
        <w:trPr>
          <w:trHeight w:val="864"/>
        </w:trPr>
        <w:tc>
          <w:tcPr>
            <w:tcW w:w="1074" w:type="dxa"/>
            <w:vAlign w:val="center"/>
          </w:tcPr>
          <w:p w14:paraId="42308FC2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3</w:t>
            </w:r>
          </w:p>
        </w:tc>
        <w:tc>
          <w:tcPr>
            <w:tcW w:w="2352" w:type="dxa"/>
            <w:vAlign w:val="center"/>
          </w:tcPr>
          <w:p w14:paraId="5C07CCF5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low ready</w:t>
            </w:r>
          </w:p>
        </w:tc>
        <w:tc>
          <w:tcPr>
            <w:tcW w:w="1249" w:type="dxa"/>
            <w:vAlign w:val="center"/>
          </w:tcPr>
          <w:p w14:paraId="324EB7C9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support</w:t>
            </w:r>
          </w:p>
          <w:p w14:paraId="10ED5943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only</w:t>
            </w:r>
          </w:p>
        </w:tc>
        <w:tc>
          <w:tcPr>
            <w:tcW w:w="1170" w:type="dxa"/>
            <w:vAlign w:val="center"/>
          </w:tcPr>
          <w:p w14:paraId="7C861E80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yes</w:t>
            </w:r>
          </w:p>
        </w:tc>
        <w:tc>
          <w:tcPr>
            <w:tcW w:w="1890" w:type="dxa"/>
            <w:vAlign w:val="center"/>
          </w:tcPr>
          <w:p w14:paraId="404D196C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6</w:t>
            </w:r>
          </w:p>
        </w:tc>
        <w:tc>
          <w:tcPr>
            <w:tcW w:w="1615" w:type="dxa"/>
            <w:vAlign w:val="center"/>
          </w:tcPr>
          <w:p w14:paraId="68D52710" w14:textId="77777777" w:rsidR="009A5B44" w:rsidRPr="009A5B44" w:rsidRDefault="009A5B44" w:rsidP="009A5B44">
            <w:pPr>
              <w:spacing w:after="0" w:line="216" w:lineRule="auto"/>
              <w:jc w:val="center"/>
            </w:pPr>
            <w:r w:rsidRPr="009A5B44">
              <w:t>12</w:t>
            </w:r>
          </w:p>
        </w:tc>
      </w:tr>
      <w:tr w:rsidR="009A5B44" w:rsidRPr="009A5B44" w14:paraId="24B0757E" w14:textId="77777777" w:rsidTr="000D3255">
        <w:trPr>
          <w:trHeight w:val="1008"/>
        </w:trPr>
        <w:tc>
          <w:tcPr>
            <w:tcW w:w="9350" w:type="dxa"/>
            <w:gridSpan w:val="6"/>
            <w:vAlign w:val="center"/>
          </w:tcPr>
          <w:p w14:paraId="7C8BD3AB" w14:textId="77777777" w:rsidR="009A5B44" w:rsidRPr="009A5B44" w:rsidRDefault="009A5B44" w:rsidP="009A5B44">
            <w:pPr>
              <w:spacing w:after="0" w:line="216" w:lineRule="auto"/>
              <w:ind w:left="877" w:hanging="877"/>
            </w:pPr>
            <w:r w:rsidRPr="009A5B44">
              <w:rPr>
                <w:b/>
              </w:rPr>
              <w:t>Targets</w:t>
            </w:r>
            <w:r w:rsidRPr="009A5B44">
              <w:t>: Targets will be TQ-19 or equivalent, with a reduced TQ-20 or equivalent for 50 yards sequence if fired from 25 yards.</w:t>
            </w:r>
          </w:p>
          <w:p w14:paraId="1B44424E" w14:textId="77777777" w:rsidR="009A5B44" w:rsidRPr="009A5B44" w:rsidRDefault="009A5B44" w:rsidP="009A5B44">
            <w:pPr>
              <w:spacing w:after="0" w:line="216" w:lineRule="auto"/>
            </w:pPr>
            <w:r w:rsidRPr="009A5B44">
              <w:rPr>
                <w:b/>
              </w:rPr>
              <w:t>Scoring</w:t>
            </w:r>
            <w:r w:rsidRPr="009A5B44">
              <w:t>: 5 points for the inner ring and 3 points for the outer ring.</w:t>
            </w:r>
          </w:p>
        </w:tc>
      </w:tr>
    </w:tbl>
    <w:p w14:paraId="56E7B204" w14:textId="77777777" w:rsidR="001B4732" w:rsidRDefault="001B4732"/>
    <w:sectPr w:rsidR="001B4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44"/>
    <w:rsid w:val="001B4732"/>
    <w:rsid w:val="009A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679DD"/>
  <w15:chartTrackingRefBased/>
  <w15:docId w15:val="{3F491DCC-0BC4-4821-BFE1-6D5E4CFB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Theme">
    <w:name w:val="Table Theme"/>
    <w:basedOn w:val="TableNormal"/>
    <w:uiPriority w:val="99"/>
    <w:rsid w:val="009A5B44"/>
    <w:rPr>
      <w:rFonts w:eastAsiaTheme="minorEastAsia" w:cs="Times New Roman"/>
      <w:kern w:val="0"/>
      <w:sz w:val="24"/>
      <w:szCs w:val="24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Howe</dc:creator>
  <cp:keywords/>
  <dc:description/>
  <cp:lastModifiedBy>Paul Howe</cp:lastModifiedBy>
  <cp:revision>1</cp:revision>
  <dcterms:created xsi:type="dcterms:W3CDTF">2023-09-11T18:37:00Z</dcterms:created>
  <dcterms:modified xsi:type="dcterms:W3CDTF">2023-09-11T18:38:00Z</dcterms:modified>
</cp:coreProperties>
</file>